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862" w:rsidRPr="00CB1289" w:rsidRDefault="002C4862" w:rsidP="00CB1289">
      <w:pPr>
        <w:pStyle w:val="Bezriadkovania"/>
        <w:ind w:left="30" w:hanging="15"/>
        <w:jc w:val="both"/>
        <w:rPr>
          <w:rFonts w:ascii="Times New Roman" w:hAnsi="Times New Roman"/>
          <w:b/>
          <w:sz w:val="24"/>
          <w:szCs w:val="24"/>
        </w:rPr>
      </w:pPr>
      <w:r w:rsidRPr="002C4862">
        <w:rPr>
          <w:rFonts w:ascii="Times New Roman" w:hAnsi="Times New Roman"/>
          <w:b/>
          <w:sz w:val="24"/>
          <w:szCs w:val="24"/>
        </w:rPr>
        <w:t>Príloha č. 1 – Podrobný opis predmetu zákazky</w:t>
      </w:r>
    </w:p>
    <w:p w:rsidR="00CB1289" w:rsidRPr="00CB1289" w:rsidRDefault="00CB1289" w:rsidP="00CB1289">
      <w:pPr>
        <w:widowControl/>
        <w:suppressAutoHyphens w:val="0"/>
        <w:spacing w:before="100" w:beforeAutospacing="1"/>
        <w:jc w:val="both"/>
        <w:rPr>
          <w:rFonts w:ascii="Arial" w:eastAsia="Times New Roman" w:hAnsi="Arial" w:cs="Arial"/>
          <w:color w:val="000000"/>
          <w:kern w:val="0"/>
          <w:lang w:eastAsia="sk-SK" w:bidi="ar-SA"/>
        </w:rPr>
      </w:pPr>
      <w:r w:rsidRPr="00CB1289">
        <w:rPr>
          <w:rFonts w:ascii="Calibri" w:eastAsia="Times New Roman" w:hAnsi="Calibri" w:cs="Arial"/>
          <w:color w:val="000000"/>
          <w:kern w:val="0"/>
          <w:sz w:val="20"/>
          <w:szCs w:val="20"/>
          <w:lang w:eastAsia="sk-SK" w:bidi="ar-SA"/>
        </w:rPr>
        <w:t xml:space="preserve">Hrob s náhrobkom Jozefa Kohúta (1838 – 1915) má Slovenská národná knižnica v správe na Národnom cintoríne v Martine, ktorý sa nachádza v sektore A č. 365 a je súčasťou areálu Národného cintorína v Martine, národnej kultúrnej pamiatky, zapísanej v Ústrednom zozname pamiatkového fondu pod č. 2108/1-61. Hrob s náhrobkom Jozefa Kohúta je osobitne vyhlásenou národnou kultúrnou pamiatkou, zapísanou v Ústrednom zozname pamiatkového fondu pod č. 2108/25. Pri predmetnom hrobe s náhrobkom bolo obhliadkou zistené závažné porušenie statiky, poškodenie hmoty náhrobku a ohrady s obrubou, ich silné znečistenie. Fyzický stav uvedeného náhrobníka je neuspokojivý, naliehavo si vyžaduje zastabilizovanie statiky ako aj bočnej časti náhrobníka, ktorá je k celku </w:t>
      </w:r>
      <w:proofErr w:type="spellStart"/>
      <w:r w:rsidRPr="00CB1289">
        <w:rPr>
          <w:rFonts w:ascii="Calibri" w:eastAsia="Times New Roman" w:hAnsi="Calibri" w:cs="Arial"/>
          <w:color w:val="000000"/>
          <w:kern w:val="0"/>
          <w:sz w:val="20"/>
          <w:szCs w:val="20"/>
          <w:lang w:eastAsia="sk-SK" w:bidi="ar-SA"/>
        </w:rPr>
        <w:t>pridaná,reštaurátorské</w:t>
      </w:r>
      <w:proofErr w:type="spellEnd"/>
      <w:r w:rsidRPr="00CB1289">
        <w:rPr>
          <w:rFonts w:ascii="Calibri" w:eastAsia="Times New Roman" w:hAnsi="Calibri" w:cs="Arial"/>
          <w:color w:val="000000"/>
          <w:kern w:val="0"/>
          <w:sz w:val="20"/>
          <w:szCs w:val="20"/>
          <w:lang w:eastAsia="sk-SK" w:bidi="ar-SA"/>
        </w:rPr>
        <w:t xml:space="preserve"> práce, opravu obruby a impregnáciu, očistu náhrobku, doplnenie kamennej hmoty na poškodených 7 kusov pieskovcových stĺpikoch, výrobu železnej reťaze a ich inštaláciu. Priložené foto</w:t>
      </w:r>
      <w:r>
        <w:rPr>
          <w:rFonts w:ascii="Calibri" w:eastAsia="Times New Roman" w:hAnsi="Calibri" w:cs="Arial"/>
          <w:color w:val="000000"/>
          <w:kern w:val="0"/>
          <w:sz w:val="20"/>
          <w:szCs w:val="20"/>
          <w:lang w:eastAsia="sk-SK" w:bidi="ar-SA"/>
        </w:rPr>
        <w:t>grafie</w:t>
      </w:r>
      <w:r w:rsidRPr="00CB1289">
        <w:rPr>
          <w:rFonts w:ascii="Calibri" w:eastAsia="Times New Roman" w:hAnsi="Calibri" w:cs="Arial"/>
          <w:color w:val="000000"/>
          <w:kern w:val="0"/>
          <w:sz w:val="20"/>
          <w:szCs w:val="20"/>
          <w:lang w:eastAsia="sk-SK" w:bidi="ar-SA"/>
        </w:rPr>
        <w:t xml:space="preserve"> náhrobníka Jozefa Kohúta zo dňa 27. 05. 2019. Očista všetkých náhrobníkov (mramor, pieskovec, žula) sa musí realizovať formou horúcej pary. Mechanické brúsenie pomocou kotúčovej brúsky uberá z hmoty pomníka (povrchovej vrstvy), a tým mení jeho celkový tvar. Pri obnove historických náhrobkov sa taktiež neodporúča používanie novodobých silikónových tesniacich materiálov, ktoré sú aj vizuálne nevhodné. Majú sa používať tradičné technológie a materiály. </w:t>
      </w:r>
    </w:p>
    <w:p w:rsidR="00CB1289" w:rsidRPr="00CB1289" w:rsidRDefault="00CB1289" w:rsidP="00CB1289">
      <w:pPr>
        <w:widowControl/>
        <w:suppressAutoHyphens w:val="0"/>
        <w:spacing w:before="100" w:beforeAutospacing="1"/>
        <w:jc w:val="both"/>
        <w:rPr>
          <w:rFonts w:ascii="Arial" w:eastAsia="Times New Roman" w:hAnsi="Arial" w:cs="Arial"/>
          <w:color w:val="000000"/>
          <w:kern w:val="0"/>
          <w:lang w:eastAsia="sk-SK" w:bidi="ar-SA"/>
        </w:rPr>
      </w:pPr>
    </w:p>
    <w:tbl>
      <w:tblPr>
        <w:tblW w:w="9210" w:type="dxa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618"/>
        <w:gridCol w:w="6197"/>
        <w:gridCol w:w="2395"/>
      </w:tblGrid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57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proofErr w:type="spellStart"/>
            <w:r w:rsidRPr="00CB1289">
              <w:rPr>
                <w:rFonts w:ascii="Calibri" w:eastAsia="Times New Roman" w:hAnsi="Calibri" w:cs="Arial"/>
                <w:b/>
                <w:bCs/>
                <w:color w:val="000000"/>
                <w:kern w:val="0"/>
                <w:lang w:eastAsia="sk-SK" w:bidi="ar-SA"/>
              </w:rPr>
              <w:t>P.č</w:t>
            </w:r>
            <w:proofErr w:type="spellEnd"/>
            <w:r w:rsidRPr="00CB1289">
              <w:rPr>
                <w:rFonts w:ascii="Calibri" w:eastAsia="Times New Roman" w:hAnsi="Calibri" w:cs="Arial"/>
                <w:b/>
                <w:bCs/>
                <w:color w:val="000000"/>
                <w:kern w:val="0"/>
                <w:lang w:eastAsia="sk-SK" w:bidi="ar-SA"/>
              </w:rPr>
              <w:t>.</w:t>
            </w:r>
          </w:p>
        </w:tc>
        <w:tc>
          <w:tcPr>
            <w:tcW w:w="6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57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b/>
                <w:bCs/>
                <w:color w:val="000000"/>
                <w:kern w:val="0"/>
                <w:lang w:eastAsia="sk-SK" w:bidi="ar-SA"/>
              </w:rPr>
              <w:t>Špecifikácia diela</w:t>
            </w:r>
          </w:p>
        </w:tc>
        <w:tc>
          <w:tcPr>
            <w:tcW w:w="2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b/>
                <w:bCs/>
                <w:color w:val="000000"/>
                <w:kern w:val="0"/>
                <w:lang w:eastAsia="sk-SK" w:bidi="ar-SA"/>
              </w:rPr>
              <w:t>Cena bez DPH</w:t>
            </w: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1.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sz w:val="20"/>
                <w:szCs w:val="20"/>
                <w:lang w:eastAsia="sk-SK" w:bidi="ar-SA"/>
              </w:rPr>
              <w:t>Prípravné práce, prípadná čiastočná demontáž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 xml:space="preserve">2. 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sz w:val="20"/>
                <w:szCs w:val="20"/>
                <w:lang w:eastAsia="sk-SK" w:bidi="ar-SA"/>
              </w:rPr>
              <w:t>Čistenie, odstránenie sekundárnych zásahov, odsoľovanie kamennej hmoty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3.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sz w:val="20"/>
                <w:szCs w:val="20"/>
                <w:lang w:eastAsia="sk-SK" w:bidi="ar-SA"/>
              </w:rPr>
              <w:t>Zastabilizovanie statiky a bočnej časti náhrobníka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4.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Komplexné reštaurátorské práce (vrátane návrhu na reštaurovanie a dokumentácie reštaurátorských prác)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5.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Oprava obruby a ohrádky hrobu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6.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proofErr w:type="spellStart"/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Petrifikácia</w:t>
            </w:r>
            <w:proofErr w:type="spellEnd"/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 xml:space="preserve"> celého náhrobníka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7.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Očista náhrobku, obruby a ohrádky hrobu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8.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sz w:val="20"/>
                <w:szCs w:val="20"/>
                <w:lang w:eastAsia="sk-SK" w:bidi="ar-SA"/>
              </w:rPr>
              <w:t>Doplnenie kamennej hmoty na poškodených 7 kusov pieskovcových stĺpikoch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9.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Výroba železnej reťaze a jej inštalácia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10.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Celkové spevnenie stĺpikov a kovových častí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color w:val="000000"/>
                <w:kern w:val="0"/>
                <w:lang w:eastAsia="sk-SK" w:bidi="ar-SA"/>
              </w:rPr>
              <w:t>11.</w:t>
            </w:r>
          </w:p>
        </w:tc>
        <w:tc>
          <w:tcPr>
            <w:tcW w:w="619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eastAsia="Times New Roman" w:cs="Times New Roman"/>
                <w:color w:val="000000"/>
                <w:kern w:val="0"/>
                <w:lang w:eastAsia="sk-SK" w:bidi="ar-SA"/>
              </w:rPr>
            </w:pPr>
            <w:r w:rsidRPr="00CB1289">
              <w:rPr>
                <w:rFonts w:ascii="Calibri" w:eastAsia="Times New Roman" w:hAnsi="Calibri" w:cs="Times New Roman"/>
                <w:color w:val="000000"/>
                <w:kern w:val="0"/>
                <w:sz w:val="20"/>
                <w:szCs w:val="20"/>
                <w:lang w:eastAsia="sk-SK" w:bidi="ar-SA"/>
              </w:rPr>
              <w:t>Textová a fotografická dokumentácia celkových vykonaných prác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  <w:tr w:rsidR="00CB1289" w:rsidRPr="00CB1289" w:rsidTr="00CB1289">
        <w:trPr>
          <w:tblCellSpacing w:w="0" w:type="dxa"/>
        </w:trPr>
        <w:tc>
          <w:tcPr>
            <w:tcW w:w="681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57" w:type="dxa"/>
              <w:bottom w:w="57" w:type="dxa"/>
              <w:right w:w="0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  <w:r w:rsidRPr="00CB1289">
              <w:rPr>
                <w:rFonts w:ascii="Calibri" w:eastAsia="Times New Roman" w:hAnsi="Calibri" w:cs="Arial"/>
                <w:b/>
                <w:bCs/>
                <w:color w:val="000000"/>
                <w:kern w:val="0"/>
                <w:lang w:eastAsia="sk-SK" w:bidi="ar-SA"/>
              </w:rPr>
              <w:t>Cena spolu bez DPH:</w:t>
            </w:r>
          </w:p>
        </w:tc>
        <w:tc>
          <w:tcPr>
            <w:tcW w:w="23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CB1289" w:rsidRPr="00CB1289" w:rsidRDefault="00CB1289" w:rsidP="00CB1289">
            <w:pPr>
              <w:widowControl/>
              <w:suppressAutoHyphens w:val="0"/>
              <w:spacing w:before="100" w:beforeAutospacing="1" w:after="198" w:line="276" w:lineRule="auto"/>
              <w:jc w:val="both"/>
              <w:rPr>
                <w:rFonts w:ascii="Calibri" w:eastAsia="Times New Roman" w:hAnsi="Calibri" w:cs="Arial"/>
                <w:color w:val="000000"/>
                <w:kern w:val="0"/>
                <w:sz w:val="22"/>
                <w:szCs w:val="22"/>
                <w:lang w:eastAsia="sk-SK" w:bidi="ar-SA"/>
              </w:rPr>
            </w:pPr>
          </w:p>
        </w:tc>
      </w:tr>
    </w:tbl>
    <w:p w:rsidR="00CB1289" w:rsidRDefault="00CB1289" w:rsidP="00CB1289">
      <w:pPr>
        <w:widowControl/>
        <w:suppressAutoHyphens w:val="0"/>
        <w:spacing w:before="100" w:beforeAutospacing="1"/>
        <w:jc w:val="both"/>
        <w:rPr>
          <w:rFonts w:ascii="Arial" w:eastAsia="Times New Roman" w:hAnsi="Arial" w:cs="Arial"/>
          <w:color w:val="000000"/>
          <w:kern w:val="0"/>
          <w:lang w:eastAsia="sk-SK" w:bidi="ar-SA"/>
        </w:rPr>
      </w:pP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lastRenderedPageBreak/>
        <w:drawing>
          <wp:inline distT="0" distB="0" distL="0" distR="0">
            <wp:extent cx="2438400" cy="3657600"/>
            <wp:effectExtent l="19050" t="0" r="0" b="0"/>
            <wp:docPr id="7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drawing>
          <wp:inline distT="0" distB="0" distL="0" distR="0">
            <wp:extent cx="3657600" cy="2438400"/>
            <wp:effectExtent l="19050" t="0" r="0" b="0"/>
            <wp:docPr id="1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drawing>
          <wp:inline distT="0" distB="0" distL="0" distR="0">
            <wp:extent cx="3657600" cy="2438400"/>
            <wp:effectExtent l="19050" t="0" r="0" b="0"/>
            <wp:docPr id="13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lastRenderedPageBreak/>
        <w:drawing>
          <wp:inline distT="0" distB="0" distL="0" distR="0">
            <wp:extent cx="3657600" cy="2438400"/>
            <wp:effectExtent l="19050" t="0" r="0" b="0"/>
            <wp:docPr id="17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drawing>
          <wp:inline distT="0" distB="0" distL="0" distR="0">
            <wp:extent cx="3657600" cy="2438400"/>
            <wp:effectExtent l="19050" t="0" r="0" b="0"/>
            <wp:docPr id="19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kern w:val="0"/>
          <w:lang w:eastAsia="sk-SK" w:bidi="ar-SA"/>
        </w:rPr>
        <w:drawing>
          <wp:inline distT="0" distB="0" distL="0" distR="0">
            <wp:extent cx="2438400" cy="3657600"/>
            <wp:effectExtent l="19050" t="0" r="0" b="0"/>
            <wp:docPr id="4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289" w:rsidRPr="00CB1289" w:rsidRDefault="00CB1289" w:rsidP="00CB1289">
      <w:pPr>
        <w:widowControl/>
        <w:suppressAutoHyphens w:val="0"/>
        <w:spacing w:before="100" w:beforeAutospacing="1"/>
        <w:jc w:val="both"/>
        <w:rPr>
          <w:rFonts w:ascii="Arial" w:eastAsia="Times New Roman" w:hAnsi="Arial" w:cs="Arial"/>
          <w:color w:val="000000"/>
          <w:kern w:val="0"/>
          <w:lang w:eastAsia="sk-SK" w:bidi="ar-SA"/>
        </w:rPr>
      </w:pPr>
    </w:p>
    <w:p w:rsidR="002C4862" w:rsidRPr="002C4862" w:rsidRDefault="002C4862" w:rsidP="002C4862">
      <w:pPr>
        <w:pStyle w:val="Bezriadkovania"/>
        <w:jc w:val="both"/>
        <w:rPr>
          <w:rFonts w:ascii="Times New Roman" w:hAnsi="Times New Roman" w:cs="Times New Roman"/>
        </w:rPr>
      </w:pPr>
      <w:r w:rsidRPr="002C4862">
        <w:rPr>
          <w:rFonts w:ascii="Times New Roman" w:hAnsi="Times New Roman" w:cs="Times New Roman"/>
          <w:b/>
          <w:bCs/>
          <w:sz w:val="24"/>
          <w:szCs w:val="24"/>
        </w:rPr>
        <w:lastRenderedPageBreak/>
        <w:t>Miesto a lehota dodania predmetu zákazky:</w:t>
      </w:r>
    </w:p>
    <w:p w:rsidR="002C4862" w:rsidRPr="002C4862" w:rsidRDefault="002C4862" w:rsidP="002C4862">
      <w:pPr>
        <w:pStyle w:val="Bezriadkovania"/>
        <w:ind w:left="30" w:hanging="15"/>
        <w:jc w:val="both"/>
        <w:rPr>
          <w:rFonts w:ascii="Times New Roman" w:hAnsi="Times New Roman" w:cs="Times New Roman"/>
          <w:sz w:val="24"/>
          <w:szCs w:val="24"/>
        </w:rPr>
      </w:pPr>
      <w:r w:rsidRPr="002C4862">
        <w:rPr>
          <w:rFonts w:ascii="Times New Roman" w:hAnsi="Times New Roman" w:cs="Times New Roman"/>
          <w:sz w:val="24"/>
          <w:szCs w:val="24"/>
        </w:rPr>
        <w:tab/>
        <w:t>Miesto dodania predmetu zákazky: Národný cintorín v Martine</w:t>
      </w:r>
    </w:p>
    <w:p w:rsidR="002C4862" w:rsidRPr="002C4862" w:rsidRDefault="002C4862" w:rsidP="002C4862">
      <w:pPr>
        <w:pStyle w:val="Bezriadkovania"/>
        <w:ind w:left="30" w:hanging="15"/>
        <w:jc w:val="both"/>
        <w:rPr>
          <w:rFonts w:ascii="Times New Roman" w:hAnsi="Times New Roman" w:cs="Times New Roman"/>
          <w:sz w:val="24"/>
          <w:szCs w:val="24"/>
        </w:rPr>
      </w:pPr>
      <w:r w:rsidRPr="002C4862">
        <w:rPr>
          <w:rFonts w:ascii="Times New Roman" w:hAnsi="Times New Roman" w:cs="Times New Roman"/>
          <w:sz w:val="24"/>
          <w:szCs w:val="24"/>
        </w:rPr>
        <w:tab/>
        <w:t>Lehota dodania predmetu zákazky: najneskôr do 15.10.2020</w:t>
      </w:r>
      <w:r w:rsidR="00CB1289">
        <w:rPr>
          <w:rFonts w:ascii="Times New Roman" w:hAnsi="Times New Roman" w:cs="Times New Roman"/>
          <w:sz w:val="24"/>
          <w:szCs w:val="24"/>
        </w:rPr>
        <w:t>.</w:t>
      </w:r>
    </w:p>
    <w:p w:rsidR="00214B0F" w:rsidRPr="002C4862" w:rsidRDefault="00CB1289">
      <w:pPr>
        <w:rPr>
          <w:rFonts w:cs="Times New Roman"/>
        </w:rPr>
      </w:pPr>
    </w:p>
    <w:sectPr w:rsidR="00214B0F" w:rsidRPr="002C4862" w:rsidSect="009D6BB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C4862"/>
    <w:rsid w:val="002A767C"/>
    <w:rsid w:val="002C4862"/>
    <w:rsid w:val="009D6BBC"/>
    <w:rsid w:val="00C400A4"/>
    <w:rsid w:val="00CB12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2C4862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Bezriadkovania">
    <w:name w:val="No Spacing"/>
    <w:qFormat/>
    <w:rsid w:val="002C4862"/>
    <w:pPr>
      <w:suppressAutoHyphens/>
      <w:spacing w:after="0" w:line="240" w:lineRule="auto"/>
    </w:pPr>
    <w:rPr>
      <w:rFonts w:ascii="Calibri" w:eastAsia="Times New Roman" w:hAnsi="Calibri" w:cs="Calibri"/>
      <w:kern w:val="1"/>
      <w:lang w:eastAsia="ar-SA"/>
    </w:rPr>
  </w:style>
  <w:style w:type="paragraph" w:customStyle="1" w:styleId="western">
    <w:name w:val="western"/>
    <w:basedOn w:val="Normlny"/>
    <w:rsid w:val="00CB1289"/>
    <w:pPr>
      <w:widowControl/>
      <w:suppressAutoHyphens w:val="0"/>
      <w:spacing w:before="100" w:beforeAutospacing="1"/>
      <w:jc w:val="both"/>
    </w:pPr>
    <w:rPr>
      <w:rFonts w:ascii="Arial" w:eastAsia="Times New Roman" w:hAnsi="Arial" w:cs="Arial"/>
      <w:color w:val="000000"/>
      <w:kern w:val="0"/>
      <w:lang w:eastAsia="sk-SK" w:bidi="ar-SA"/>
    </w:rPr>
  </w:style>
  <w:style w:type="paragraph" w:customStyle="1" w:styleId="western1">
    <w:name w:val="western1"/>
    <w:basedOn w:val="Normlny"/>
    <w:rsid w:val="00CB1289"/>
    <w:pPr>
      <w:widowControl/>
      <w:suppressAutoHyphens w:val="0"/>
      <w:spacing w:before="100" w:beforeAutospacing="1" w:after="198" w:line="276" w:lineRule="auto"/>
      <w:jc w:val="both"/>
    </w:pPr>
    <w:rPr>
      <w:rFonts w:ascii="Calibri" w:eastAsia="Times New Roman" w:hAnsi="Calibri" w:cs="Arial"/>
      <w:color w:val="000000"/>
      <w:kern w:val="0"/>
      <w:sz w:val="22"/>
      <w:szCs w:val="22"/>
      <w:lang w:eastAsia="sk-SK" w:bidi="ar-SA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CB1289"/>
    <w:rPr>
      <w:rFonts w:ascii="Tahoma" w:hAnsi="Tahoma"/>
      <w:sz w:val="16"/>
      <w:szCs w:val="14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CB1289"/>
    <w:rPr>
      <w:rFonts w:ascii="Tahoma" w:eastAsia="SimSun" w:hAnsi="Tahoma" w:cs="Mangal"/>
      <w:kern w:val="1"/>
      <w:sz w:val="16"/>
      <w:szCs w:val="14"/>
      <w:lang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482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349</Words>
  <Characters>1992</Characters>
  <Application>Microsoft Office Word</Application>
  <DocSecurity>0</DocSecurity>
  <Lines>16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lubos.ranto</dc:creator>
  <cp:lastModifiedBy>lubos.ranto</cp:lastModifiedBy>
  <cp:revision>1</cp:revision>
  <dcterms:created xsi:type="dcterms:W3CDTF">2019-12-12T08:45:00Z</dcterms:created>
  <dcterms:modified xsi:type="dcterms:W3CDTF">2019-12-12T10:32:00Z</dcterms:modified>
</cp:coreProperties>
</file>